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BC" w:rsidRDefault="00A34FBC" w:rsidP="00D54054">
      <w:pPr>
        <w:pStyle w:val="Heading1"/>
      </w:pPr>
      <w:r>
        <w:t>Materjali</w:t>
      </w:r>
      <w:r w:rsidR="00D54054">
        <w:t xml:space="preserve">tehnoloogia </w:t>
      </w:r>
    </w:p>
    <w:p w:rsidR="00D54054" w:rsidRDefault="00D54054" w:rsidP="00D54054">
      <w:pPr>
        <w:pStyle w:val="Heading1"/>
      </w:pPr>
      <w:r>
        <w:t>e-ülesan</w:t>
      </w:r>
      <w:r w:rsidR="00A34FBC">
        <w:t>d</w:t>
      </w:r>
      <w:r>
        <w:t>e</w:t>
      </w:r>
      <w:r w:rsidR="00A34FBC">
        <w:t xml:space="preserve"> juhend</w:t>
      </w:r>
    </w:p>
    <w:p w:rsidR="00A34FBC" w:rsidRPr="00A34FBC" w:rsidRDefault="00A34FBC" w:rsidP="00A34FBC"/>
    <w:p w:rsidR="00D54054" w:rsidRDefault="00A34FBC" w:rsidP="00D54054">
      <w:pPr>
        <w:pStyle w:val="Heading2"/>
      </w:pPr>
      <w:r>
        <w:t>lahendus ja hindamine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 xml:space="preserve">Ülesandes hinnatakse loogilist arutelu ning vastuste ja väidete selget esitusviisi. Vastused olgu lühikesed ja konkreetsed. 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>Arvutusi on minimaalselt - võid julgelt eeldada, et need on väga lihtsad (triviaalne algebra) ja nende täpsus on määratud sinu enda valitud algandmetega.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 xml:space="preserve">Selge ja läbimõeldud vastus ühele ülesandele on parem, kui poolikud vastused mitmele ülesandele. Ära mõtle üle - kuula oma intuitsiooni ja vajadusel selgita kasutades nn. talupojamõistust. Vale vastust ei ole, on ainult ´nõrk põhjendus´ ehk puudulik analüüs ja seisukoht. 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 xml:space="preserve">Samuti – ära jäta vastamata. Juhul, kui sa leiad, et ülesande lahendamine on Teie jaoks võimatu, siis palun põhjenda hoopis järgmist – aga </w:t>
      </w:r>
      <w:r w:rsidRPr="00A34FBC">
        <w:rPr>
          <w:i/>
          <w:szCs w:val="20"/>
        </w:rPr>
        <w:t>miks</w:t>
      </w:r>
      <w:r w:rsidRPr="00A34FBC">
        <w:rPr>
          <w:szCs w:val="20"/>
        </w:rPr>
        <w:t xml:space="preserve"> sa ei oska, või mis eelteadmised sinu arvates puudu on? Hästi formuleeritud kriitika on väärtus omaette ja tihtipeale pool vastust Sinu probleemile </w:t>
      </w:r>
      <w:r w:rsidRPr="00A34FBC">
        <w:rPr>
          <w:color w:val="808080" w:themeColor="background1" w:themeShade="80"/>
          <w:szCs w:val="20"/>
        </w:rPr>
        <w:t>(seega väärt kuni pooled punktid konkreetsest ülesandest).</w:t>
      </w:r>
      <w:r w:rsidRPr="00A34FBC">
        <w:rPr>
          <w:szCs w:val="20"/>
        </w:rPr>
        <w:t xml:space="preserve"> Isegi, kui sa ei otsusta lõplikku vastust kirja panna – siis avalda vähemalt kriitilised tegurid või lahenduse põhimõtteline lahenduskäik kirjeldades seda, mida Teie arvates kindlasti arvesse võtma, et see lõplik otsus ikkagi lõpuks langetada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 xml:space="preserve">Iga ülesanne on täidetud </w:t>
      </w:r>
      <w:r w:rsidRPr="00A34FBC">
        <w:rPr>
          <w:color w:val="808080" w:themeColor="background1" w:themeShade="80"/>
          <w:szCs w:val="20"/>
        </w:rPr>
        <w:t xml:space="preserve">(ja kandideerib täispunktidele) </w:t>
      </w:r>
      <w:r w:rsidRPr="00A34FBC">
        <w:rPr>
          <w:color w:val="000000" w:themeColor="text1"/>
          <w:szCs w:val="20"/>
        </w:rPr>
        <w:t>juhul, ku</w:t>
      </w:r>
      <w:r w:rsidRPr="00A34FBC">
        <w:rPr>
          <w:szCs w:val="20"/>
        </w:rPr>
        <w:t xml:space="preserve">i kirjas konkreetne vastus esitatud probleemile ning puuduvad sisemised vastuolud või loogilised lüngad seletuses (st. vastus on võimalikult terviklik). </w:t>
      </w:r>
      <w:r w:rsidRPr="00A34FBC">
        <w:rPr>
          <w:color w:val="808080" w:themeColor="background1" w:themeShade="80"/>
          <w:szCs w:val="20"/>
        </w:rPr>
        <w:t xml:space="preserve">Näiteks: vastuseks võib olla Teie arvates oluliste mõjutegurite nimekiri (faktid, viited, argumendid) pluss kokkuvõtvad ning siduvad laused, või hüpotees (oletus) </w:t>
      </w:r>
      <w:proofErr w:type="spellStart"/>
      <w:r w:rsidRPr="00A34FBC">
        <w:rPr>
          <w:color w:val="808080" w:themeColor="background1" w:themeShade="80"/>
          <w:szCs w:val="20"/>
        </w:rPr>
        <w:t>eeleva</w:t>
      </w:r>
      <w:proofErr w:type="spellEnd"/>
      <w:r w:rsidRPr="00A34FBC">
        <w:rPr>
          <w:color w:val="808080" w:themeColor="background1" w:themeShade="80"/>
          <w:szCs w:val="20"/>
        </w:rPr>
        <w:t xml:space="preserve"> põhjal. </w:t>
      </w:r>
      <w:r w:rsidRPr="00A34FBC">
        <w:rPr>
          <w:szCs w:val="20"/>
        </w:rPr>
        <w:t xml:space="preserve">Julge oletus, mis seisab tugevalt sinu väidetel, ei ole vale vastus. „Vale vastus“ saab olla ainult loogiline vastuolu seletuse terviklikkuses. 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 xml:space="preserve">Info otsimise oskused ja abimees brauser ei ole vastunäidustatud ja kohati isegi vajalik </w:t>
      </w:r>
      <w:r w:rsidRPr="00A34FBC">
        <w:rPr>
          <w:color w:val="808080" w:themeColor="background1" w:themeShade="80"/>
          <w:szCs w:val="20"/>
        </w:rPr>
        <w:t>(kuid, ära liigselt sellele toetu)</w:t>
      </w:r>
      <w:r w:rsidRPr="00A34FBC">
        <w:rPr>
          <w:szCs w:val="20"/>
        </w:rPr>
        <w:t xml:space="preserve">. 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>Noorem kooliosa (7-8 klass) võiks vastata vähemalt kolmele enda poolt valitud ülesandele (3/7), et saavutada maksimaalsed punktid. Vanem kooliosa (9-12 klass) peab selle jaoks pingutama soovitavalt 5 vastust 7 ülesande kohta. Ülesanded on mõlemale kooliosale on identsed.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 xml:space="preserve">Hindamine on subjektiivne, kuid arvestada võib hindaja heatahtlikkusega. Siiski-siiski, lõpliku punktijaotuse määrab ka </w:t>
      </w:r>
      <w:r w:rsidRPr="00A34FBC">
        <w:rPr>
          <w:i/>
          <w:szCs w:val="20"/>
        </w:rPr>
        <w:t>konkurents</w:t>
      </w:r>
      <w:r w:rsidRPr="00A34FBC">
        <w:rPr>
          <w:szCs w:val="20"/>
        </w:rPr>
        <w:t xml:space="preserve"> ehk - kõikide tööde tasemete jaotus vanusegrupis.</w:t>
      </w:r>
      <w:r w:rsidRPr="00A34FBC">
        <w:rPr>
          <w:szCs w:val="20"/>
        </w:rPr>
        <w:br w:type="page"/>
      </w:r>
    </w:p>
    <w:p w:rsidR="00A34FBC" w:rsidRPr="00A34FBC" w:rsidRDefault="00A34FBC" w:rsidP="00A34FBC"/>
    <w:p w:rsidR="00ED1EAB" w:rsidRDefault="00A34FBC" w:rsidP="00ED1EAB">
      <w:pPr>
        <w:pStyle w:val="Heading2"/>
      </w:pPr>
      <w:r>
        <w:t>ülesande taust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>Jänedal mõõtis vanem kooliosa musta keha temperatuuri, kasutades tema kiirgusomadusi</w:t>
      </w:r>
      <w:r w:rsidR="005359FD">
        <w:rPr>
          <w:szCs w:val="20"/>
        </w:rPr>
        <w:t xml:space="preserve"> ning uuris soojusülekande nähtusi laiemalt</w:t>
      </w:r>
      <w:r w:rsidRPr="00A34FBC">
        <w:rPr>
          <w:szCs w:val="20"/>
        </w:rPr>
        <w:t xml:space="preserve">. Seevastu </w:t>
      </w:r>
      <w:proofErr w:type="spellStart"/>
      <w:r w:rsidRPr="00A34FBC">
        <w:rPr>
          <w:szCs w:val="20"/>
        </w:rPr>
        <w:t>Mektorys</w:t>
      </w:r>
      <w:proofErr w:type="spellEnd"/>
      <w:r w:rsidRPr="00A34FBC">
        <w:rPr>
          <w:szCs w:val="20"/>
        </w:rPr>
        <w:t xml:space="preserve"> valmistas noorem kooliosa kristalle. Siin ülesandes saavad need kaks töötuba ja seotud nähtused põhimõtteliselt kokku.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>Päikeseelement, mis on valmistatud pooljuht-kristallidest, muundab valguskiirguse energiat elektrienergiaks. Järgm</w:t>
      </w:r>
      <w:bookmarkStart w:id="0" w:name="_GoBack"/>
      <w:bookmarkEnd w:id="0"/>
      <w:r w:rsidRPr="00A34FBC">
        <w:rPr>
          <w:szCs w:val="20"/>
        </w:rPr>
        <w:t xml:space="preserve">isel lehel on mõnevõrra üldistatud </w:t>
      </w:r>
      <w:r w:rsidRPr="00A34FBC">
        <w:rPr>
          <w:color w:val="808080" w:themeColor="background1" w:themeShade="80"/>
          <w:szCs w:val="20"/>
        </w:rPr>
        <w:t>(lihtsuse mõttes)</w:t>
      </w:r>
      <w:r w:rsidRPr="00A34FBC">
        <w:rPr>
          <w:szCs w:val="20"/>
        </w:rPr>
        <w:t xml:space="preserve"> väited päikese-elementide töö kohta mida võib, </w:t>
      </w:r>
      <w:r w:rsidRPr="00A34FBC">
        <w:rPr>
          <w:i/>
          <w:szCs w:val="20"/>
        </w:rPr>
        <w:t>aga ei pruugi</w:t>
      </w:r>
      <w:r w:rsidRPr="00A34FBC">
        <w:rPr>
          <w:szCs w:val="20"/>
        </w:rPr>
        <w:t xml:space="preserve">, Teie ülesannete analüüsis vaja minna. Võta neid kui aksioome käesoleva ülesande raames, kus Teil tuleb päikese-elemendi efektiivsusi hinnata teatud </w:t>
      </w:r>
      <w:r w:rsidRPr="00A34FBC">
        <w:rPr>
          <w:i/>
          <w:szCs w:val="20"/>
        </w:rPr>
        <w:t>ebatavalistes keskkonnatingimustes</w:t>
      </w:r>
      <w:r w:rsidRPr="00A34FBC">
        <w:rPr>
          <w:szCs w:val="20"/>
        </w:rPr>
        <w:t>.</w:t>
      </w:r>
    </w:p>
    <w:p w:rsidR="00A34FBC" w:rsidRPr="00A34FBC" w:rsidRDefault="00A34FBC" w:rsidP="00A34FBC">
      <w:pPr>
        <w:ind w:right="709"/>
        <w:rPr>
          <w:szCs w:val="20"/>
        </w:rPr>
      </w:pPr>
      <w:r w:rsidRPr="00A34FBC">
        <w:rPr>
          <w:szCs w:val="20"/>
        </w:rPr>
        <w:t>Kui on huvi, või vajad lisa-selgitusi, võta julgelt eelnevalt ühendust:</w:t>
      </w:r>
    </w:p>
    <w:p w:rsidR="00A34FBC" w:rsidRDefault="005359FD" w:rsidP="00A34FBC">
      <w:pPr>
        <w:ind w:right="709"/>
        <w:rPr>
          <w:szCs w:val="20"/>
        </w:rPr>
      </w:pPr>
      <w:hyperlink r:id="rId7" w:history="1">
        <w:r w:rsidR="00A34FBC" w:rsidRPr="00A34FBC">
          <w:rPr>
            <w:rStyle w:val="Hyperlink"/>
            <w:szCs w:val="20"/>
          </w:rPr>
          <w:t>erki.karber@taltech.ee</w:t>
        </w:r>
      </w:hyperlink>
      <w:r w:rsidR="00A34FBC" w:rsidRPr="00A34FBC">
        <w:rPr>
          <w:szCs w:val="20"/>
        </w:rPr>
        <w:br/>
        <w:t>Tel: 5561 2853</w:t>
      </w:r>
    </w:p>
    <w:p w:rsidR="00A34FBC" w:rsidRDefault="00A34FBC" w:rsidP="00A34FBC">
      <w:pPr>
        <w:ind w:right="709"/>
        <w:rPr>
          <w:szCs w:val="20"/>
        </w:rPr>
      </w:pPr>
    </w:p>
    <w:p w:rsidR="00A34FBC" w:rsidRPr="00A34FBC" w:rsidRDefault="00A34FBC" w:rsidP="00A34FBC">
      <w:pPr>
        <w:pStyle w:val="Heading2"/>
        <w:jc w:val="left"/>
      </w:pPr>
      <w:r w:rsidRPr="00A34FBC">
        <w:t>Põhiväited päikese-elemendi tööprintsiibi ja töötingimuste kohta:</w:t>
      </w:r>
      <w:r w:rsidRPr="00A34FBC">
        <w:br/>
      </w:r>
    </w:p>
    <w:p w:rsidR="00A34FBC" w:rsidRPr="00A34FBC" w:rsidRDefault="00A34FBC" w:rsidP="00A34FBC">
      <w:pPr>
        <w:pStyle w:val="ListParagraph"/>
        <w:numPr>
          <w:ilvl w:val="0"/>
          <w:numId w:val="1"/>
        </w:numPr>
        <w:ind w:left="426" w:right="709"/>
        <w:rPr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>Päikeseelemendi abil elektri tootmiseks on vajalik valguse neeldumine elemendis.</w:t>
      </w:r>
      <w:r w:rsidRPr="00A34FBC">
        <w:rPr>
          <w:rFonts w:ascii="Verdana" w:hAnsi="Verdana"/>
          <w:i/>
          <w:sz w:val="20"/>
          <w:szCs w:val="20"/>
          <w:lang w:val="et-EE"/>
        </w:rPr>
        <w:br/>
      </w:r>
    </w:p>
    <w:p w:rsidR="00A34FBC" w:rsidRPr="00A34FBC" w:rsidRDefault="00A34FBC" w:rsidP="00A34FBC">
      <w:pPr>
        <w:pStyle w:val="ListParagraph"/>
        <w:numPr>
          <w:ilvl w:val="0"/>
          <w:numId w:val="1"/>
        </w:numPr>
        <w:ind w:left="426" w:right="709"/>
        <w:rPr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 xml:space="preserve">Päikeseelemendi </w:t>
      </w:r>
      <w:r w:rsidRPr="00A34FBC">
        <w:rPr>
          <w:rFonts w:ascii="Verdana" w:hAnsi="Verdana"/>
          <w:i/>
          <w:sz w:val="20"/>
          <w:szCs w:val="20"/>
          <w:lang w:val="et-EE"/>
        </w:rPr>
        <w:t>võimsus</w:t>
      </w:r>
      <w:r w:rsidRPr="00A34FBC">
        <w:rPr>
          <w:rFonts w:ascii="Verdana" w:hAnsi="Verdana"/>
          <w:sz w:val="20"/>
          <w:szCs w:val="20"/>
          <w:lang w:val="et-EE"/>
        </w:rPr>
        <w:t xml:space="preserve"> ja ühtlasi </w:t>
      </w:r>
      <w:r w:rsidRPr="00A34FBC">
        <w:rPr>
          <w:rFonts w:ascii="Verdana" w:hAnsi="Verdana"/>
          <w:i/>
          <w:sz w:val="20"/>
          <w:szCs w:val="20"/>
          <w:lang w:val="et-EE"/>
        </w:rPr>
        <w:t>tootlikus</w:t>
      </w:r>
      <w:r w:rsidRPr="00A34FBC">
        <w:rPr>
          <w:rFonts w:ascii="Verdana" w:hAnsi="Verdana"/>
          <w:sz w:val="20"/>
          <w:szCs w:val="20"/>
          <w:lang w:val="et-EE"/>
        </w:rPr>
        <w:t xml:space="preserve"> suureneb, kui tema valgustatus on suurem (</w:t>
      </w:r>
      <w:proofErr w:type="spellStart"/>
      <w:r w:rsidRPr="00A34FBC">
        <w:rPr>
          <w:rFonts w:ascii="Verdana" w:hAnsi="Verdana"/>
          <w:sz w:val="20"/>
          <w:szCs w:val="20"/>
          <w:lang w:val="et-EE"/>
        </w:rPr>
        <w:t>pealelangenud</w:t>
      </w:r>
      <w:proofErr w:type="spellEnd"/>
      <w:r w:rsidRPr="00A34FBC">
        <w:rPr>
          <w:rFonts w:ascii="Verdana" w:hAnsi="Verdana"/>
          <w:sz w:val="20"/>
          <w:szCs w:val="20"/>
          <w:lang w:val="et-EE"/>
        </w:rPr>
        <w:t xml:space="preserve"> valgusenergiat on rohkem) või siis, kui tema efektiivsus (kasutegur) on suurem.</w:t>
      </w:r>
    </w:p>
    <w:p w:rsidR="00A34FBC" w:rsidRPr="00A34FBC" w:rsidRDefault="00A34FBC" w:rsidP="00A34FBC">
      <w:pPr>
        <w:pStyle w:val="ListParagraph"/>
        <w:ind w:left="426" w:right="709"/>
        <w:rPr>
          <w:rFonts w:ascii="Verdana" w:hAnsi="Verdana"/>
          <w:sz w:val="20"/>
          <w:szCs w:val="20"/>
          <w:lang w:val="et-EE"/>
        </w:rPr>
      </w:pPr>
    </w:p>
    <w:p w:rsidR="00A34FBC" w:rsidRPr="00A34FBC" w:rsidRDefault="00A34FBC" w:rsidP="00A34FBC">
      <w:pPr>
        <w:pStyle w:val="ListParagraph"/>
        <w:numPr>
          <w:ilvl w:val="0"/>
          <w:numId w:val="1"/>
        </w:numPr>
        <w:ind w:left="426" w:right="709"/>
        <w:rPr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 xml:space="preserve">Kui elemendi </w:t>
      </w:r>
      <w:r w:rsidRPr="00A34FBC">
        <w:rPr>
          <w:rFonts w:ascii="Verdana" w:hAnsi="Verdana"/>
          <w:i/>
          <w:sz w:val="20"/>
          <w:szCs w:val="20"/>
          <w:lang w:val="et-EE"/>
        </w:rPr>
        <w:t>efektiivsus</w:t>
      </w:r>
      <w:r w:rsidRPr="00A34FBC">
        <w:rPr>
          <w:rFonts w:ascii="Verdana" w:hAnsi="Verdana"/>
          <w:sz w:val="20"/>
          <w:szCs w:val="20"/>
          <w:lang w:val="et-EE"/>
        </w:rPr>
        <w:t xml:space="preserve"> on suurem, siis tehakse rohkem kasulikku tööd - toodetakse rohkem kasulikku elektrienergiat, ja eraldub vähem soojust.</w:t>
      </w:r>
    </w:p>
    <w:p w:rsidR="00A34FBC" w:rsidRPr="00A34FBC" w:rsidRDefault="00A34FBC" w:rsidP="00A34FBC">
      <w:pPr>
        <w:pStyle w:val="ListParagraph"/>
        <w:ind w:left="426" w:right="709"/>
        <w:rPr>
          <w:rFonts w:ascii="Verdana" w:hAnsi="Verdana"/>
          <w:sz w:val="20"/>
          <w:szCs w:val="20"/>
          <w:lang w:val="et-EE"/>
        </w:rPr>
      </w:pPr>
    </w:p>
    <w:p w:rsidR="00A34FBC" w:rsidRPr="00A34FBC" w:rsidRDefault="00A34FBC" w:rsidP="00A34FBC">
      <w:pPr>
        <w:pStyle w:val="ListParagraph"/>
        <w:numPr>
          <w:ilvl w:val="0"/>
          <w:numId w:val="1"/>
        </w:numPr>
        <w:ind w:left="426" w:right="709"/>
        <w:rPr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 xml:space="preserve">Efektiivsus arvutatakse elemendi abil toodetud kasuliku elektrienergia ja kogu </w:t>
      </w:r>
      <w:proofErr w:type="spellStart"/>
      <w:r w:rsidRPr="00A34FBC">
        <w:rPr>
          <w:rFonts w:ascii="Verdana" w:hAnsi="Verdana"/>
          <w:sz w:val="20"/>
          <w:szCs w:val="20"/>
          <w:lang w:val="et-EE"/>
        </w:rPr>
        <w:t>pealelangenud</w:t>
      </w:r>
      <w:proofErr w:type="spellEnd"/>
      <w:r w:rsidRPr="00A34FBC">
        <w:rPr>
          <w:rFonts w:ascii="Verdana" w:hAnsi="Verdana"/>
          <w:sz w:val="20"/>
          <w:szCs w:val="20"/>
          <w:lang w:val="et-EE"/>
        </w:rPr>
        <w:t xml:space="preserve"> valgusenergia jagatisena. </w:t>
      </w:r>
    </w:p>
    <w:p w:rsidR="00A34FBC" w:rsidRPr="00A34FBC" w:rsidRDefault="00A34FBC" w:rsidP="00A34FBC">
      <w:pPr>
        <w:pStyle w:val="ListParagraph"/>
        <w:ind w:left="426" w:right="709"/>
        <w:rPr>
          <w:rFonts w:ascii="Verdana" w:hAnsi="Verdana"/>
          <w:sz w:val="20"/>
          <w:szCs w:val="20"/>
          <w:lang w:val="et-EE"/>
        </w:rPr>
      </w:pPr>
    </w:p>
    <w:p w:rsidR="00A34FBC" w:rsidRPr="00A34FBC" w:rsidRDefault="00A34FBC" w:rsidP="00A34FBC">
      <w:pPr>
        <w:pStyle w:val="ListParagraph"/>
        <w:numPr>
          <w:ilvl w:val="0"/>
          <w:numId w:val="1"/>
        </w:numPr>
        <w:ind w:left="426" w:right="709"/>
        <w:rPr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>Päikeseelemendi elektriline väljundvõimsus on suurem siis, kui suureneb kas elektriline pinge ja/või voolutugevus, ning arvutatakse nende korrutisena. Nende põhiliste parameetrite kaudu arvutatakse ka elemendi efektiivsus.</w:t>
      </w:r>
    </w:p>
    <w:p w:rsidR="00A34FBC" w:rsidRPr="00A34FBC" w:rsidRDefault="00A34FBC" w:rsidP="00A34FBC">
      <w:pPr>
        <w:pStyle w:val="ListParagraph"/>
        <w:ind w:left="426" w:right="709"/>
        <w:rPr>
          <w:rFonts w:ascii="Verdana" w:hAnsi="Verdana"/>
          <w:sz w:val="20"/>
          <w:szCs w:val="20"/>
          <w:lang w:val="et-EE"/>
        </w:rPr>
      </w:pPr>
    </w:p>
    <w:p w:rsidR="00A34FBC" w:rsidRPr="00A34FBC" w:rsidRDefault="00A34FBC" w:rsidP="00A34FBC">
      <w:pPr>
        <w:pStyle w:val="ListParagraph"/>
        <w:numPr>
          <w:ilvl w:val="0"/>
          <w:numId w:val="1"/>
        </w:numPr>
        <w:ind w:left="426" w:right="709"/>
        <w:rPr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 xml:space="preserve">Kõrged temperatuurid ei ole soodsad – elemendi temperatuuri tõustes pinge langeb. </w:t>
      </w:r>
      <w:r w:rsidRPr="00A34FBC">
        <w:rPr>
          <w:rFonts w:ascii="Verdana" w:hAnsi="Verdana"/>
          <w:sz w:val="20"/>
          <w:szCs w:val="20"/>
          <w:lang w:val="et-EE"/>
        </w:rPr>
        <w:br/>
      </w:r>
    </w:p>
    <w:p w:rsidR="00A34FBC" w:rsidRPr="00A34FBC" w:rsidRDefault="00A34FBC" w:rsidP="00A34FBC">
      <w:pPr>
        <w:pStyle w:val="ListParagraph"/>
        <w:numPr>
          <w:ilvl w:val="0"/>
          <w:numId w:val="1"/>
        </w:numPr>
        <w:ind w:left="426" w:right="709"/>
        <w:rPr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>Elemendis toodetud vool on proportsionaalne elemendi valgustatusega.</w:t>
      </w:r>
      <w:r w:rsidRPr="00A34FBC">
        <w:rPr>
          <w:rFonts w:ascii="Verdana" w:hAnsi="Verdana"/>
          <w:sz w:val="20"/>
          <w:szCs w:val="20"/>
          <w:lang w:val="et-EE"/>
        </w:rPr>
        <w:br/>
      </w:r>
    </w:p>
    <w:p w:rsidR="00A34FBC" w:rsidRPr="00A34FBC" w:rsidRDefault="00A34FBC" w:rsidP="00A34FBC">
      <w:pPr>
        <w:pStyle w:val="ListParagraph"/>
        <w:numPr>
          <w:ilvl w:val="0"/>
          <w:numId w:val="1"/>
        </w:numPr>
        <w:ind w:left="426" w:right="709"/>
        <w:rPr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>Elemendi pinge sõltub nõrgalt (</w:t>
      </w:r>
      <w:proofErr w:type="spellStart"/>
      <w:r w:rsidRPr="00A34FBC">
        <w:rPr>
          <w:rFonts w:ascii="Verdana" w:hAnsi="Verdana"/>
          <w:sz w:val="20"/>
          <w:szCs w:val="20"/>
          <w:lang w:val="et-EE"/>
        </w:rPr>
        <w:t>logaritmiliselt</w:t>
      </w:r>
      <w:proofErr w:type="spellEnd"/>
      <w:r w:rsidRPr="00A34FBC">
        <w:rPr>
          <w:rFonts w:ascii="Verdana" w:hAnsi="Verdana"/>
          <w:sz w:val="20"/>
          <w:szCs w:val="20"/>
          <w:lang w:val="et-EE"/>
        </w:rPr>
        <w:t>) voolutugevusest. Teisisõnu, kui element toodab oluliselt rohkem voolu, suureneb elemendi pinge on ainult natuke.</w:t>
      </w:r>
      <w:r w:rsidRPr="00A34FBC">
        <w:rPr>
          <w:rFonts w:ascii="Verdana" w:hAnsi="Verdana"/>
          <w:sz w:val="20"/>
          <w:szCs w:val="20"/>
          <w:lang w:val="et-EE"/>
        </w:rPr>
        <w:br/>
      </w:r>
    </w:p>
    <w:p w:rsidR="00A34FBC" w:rsidRPr="00A34FBC" w:rsidRDefault="00A34FBC" w:rsidP="00A34FBC">
      <w:pPr>
        <w:pStyle w:val="ListParagraph"/>
        <w:numPr>
          <w:ilvl w:val="0"/>
          <w:numId w:val="1"/>
        </w:numPr>
        <w:ind w:left="426" w:right="709"/>
        <w:rPr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>Elemendis olevatel valgust neelavatel kristallidel on üks eriline sisemine fundamentaalne omadus – optiline keelutsoon (</w:t>
      </w:r>
      <w:proofErr w:type="spellStart"/>
      <w:r w:rsidRPr="00A34FBC">
        <w:rPr>
          <w:rFonts w:ascii="Verdana" w:hAnsi="Verdana"/>
          <w:sz w:val="20"/>
          <w:szCs w:val="20"/>
          <w:lang w:val="et-EE"/>
        </w:rPr>
        <w:t>band</w:t>
      </w:r>
      <w:proofErr w:type="spellEnd"/>
      <w:r w:rsidRPr="00A34FBC">
        <w:rPr>
          <w:rFonts w:ascii="Verdana" w:hAnsi="Verdana"/>
          <w:sz w:val="20"/>
          <w:szCs w:val="20"/>
          <w:lang w:val="et-EE"/>
        </w:rPr>
        <w:t xml:space="preserve"> </w:t>
      </w:r>
      <w:proofErr w:type="spellStart"/>
      <w:r w:rsidRPr="00A34FBC">
        <w:rPr>
          <w:rFonts w:ascii="Verdana" w:hAnsi="Verdana"/>
          <w:sz w:val="20"/>
          <w:szCs w:val="20"/>
          <w:lang w:val="et-EE"/>
        </w:rPr>
        <w:t>gap</w:t>
      </w:r>
      <w:proofErr w:type="spellEnd"/>
      <w:r w:rsidRPr="00A34FBC">
        <w:rPr>
          <w:rFonts w:ascii="Verdana" w:hAnsi="Verdana"/>
          <w:sz w:val="20"/>
          <w:szCs w:val="20"/>
          <w:lang w:val="et-EE"/>
        </w:rPr>
        <w:t xml:space="preserve">), mille sügavam </w:t>
      </w:r>
      <w:r w:rsidRPr="00A34FBC">
        <w:rPr>
          <w:rFonts w:ascii="Verdana" w:hAnsi="Verdana"/>
          <w:sz w:val="20"/>
          <w:szCs w:val="20"/>
          <w:lang w:val="et-EE"/>
        </w:rPr>
        <w:lastRenderedPageBreak/>
        <w:t xml:space="preserve">seletus jääb hetkel vaatluse alt välja </w:t>
      </w:r>
      <w:r w:rsidRPr="00A34FBC">
        <w:rPr>
          <w:rFonts w:ascii="Verdana" w:hAnsi="Verdana"/>
          <w:color w:val="808080" w:themeColor="background1" w:themeShade="80"/>
          <w:sz w:val="20"/>
          <w:szCs w:val="20"/>
          <w:lang w:val="et-EE"/>
        </w:rPr>
        <w:t>(kõrgem füüsika)</w:t>
      </w:r>
      <w:r w:rsidRPr="00A34FBC">
        <w:rPr>
          <w:rFonts w:ascii="Verdana" w:hAnsi="Verdana"/>
          <w:sz w:val="20"/>
          <w:szCs w:val="20"/>
          <w:lang w:val="et-EE"/>
        </w:rPr>
        <w:t xml:space="preserve"> kuid on siiski vajalik elemendi tööks. Keelutsooni suur energeetiline laius on siiski põhjus, miks osa päikesevalgusest nö. hüljatakse – madalama energiaga valgus ei suuda materjali ergastada. Teisisõnu, osa valgust ei neeldu - see protsess on ´keelatud´ (st. füüsikaliselt võimatu). </w:t>
      </w:r>
      <w:r w:rsidRPr="00A34FBC">
        <w:rPr>
          <w:rFonts w:ascii="Verdana" w:hAnsi="Verdana"/>
          <w:sz w:val="20"/>
          <w:szCs w:val="20"/>
          <w:lang w:val="et-EE"/>
        </w:rPr>
        <w:br/>
      </w:r>
      <w:r w:rsidRPr="00A34FBC">
        <w:rPr>
          <w:rFonts w:ascii="Verdana" w:hAnsi="Verdana"/>
          <w:color w:val="808080" w:themeColor="background1" w:themeShade="80"/>
          <w:sz w:val="20"/>
          <w:szCs w:val="20"/>
          <w:lang w:val="et-EE"/>
        </w:rPr>
        <w:t>Mõtle keelutsoonist, kui korruste vahest ja valguse energiast kui saadaolevatest redelite pikkustest. Võta teadmiseks, et lühikesi redeleid (infrapunane valgus) on reeglina hulga rohkem.</w:t>
      </w:r>
      <w:r w:rsidRPr="00A34FBC">
        <w:rPr>
          <w:rFonts w:ascii="Verdana" w:hAnsi="Verdana"/>
          <w:color w:val="808080" w:themeColor="background1" w:themeShade="80"/>
          <w:sz w:val="20"/>
          <w:szCs w:val="20"/>
          <w:lang w:val="et-EE"/>
        </w:rPr>
        <w:br/>
      </w:r>
    </w:p>
    <w:p w:rsidR="00A34FBC" w:rsidRPr="00A34FBC" w:rsidRDefault="00A34FBC" w:rsidP="00961C3A">
      <w:pPr>
        <w:pStyle w:val="ListParagraph"/>
        <w:numPr>
          <w:ilvl w:val="0"/>
          <w:numId w:val="1"/>
        </w:numPr>
        <w:ind w:left="426" w:right="709"/>
        <w:rPr>
          <w:rStyle w:val="Hyperlink"/>
          <w:rFonts w:ascii="Verdana" w:hAnsi="Verdana"/>
          <w:sz w:val="20"/>
          <w:szCs w:val="20"/>
          <w:lang w:val="et-EE"/>
        </w:rPr>
      </w:pPr>
      <w:r w:rsidRPr="00A34FBC">
        <w:rPr>
          <w:rFonts w:ascii="Verdana" w:hAnsi="Verdana"/>
          <w:sz w:val="20"/>
          <w:szCs w:val="20"/>
          <w:lang w:val="et-EE"/>
        </w:rPr>
        <w:t xml:space="preserve">Kui elemendis oleva kristallilise valgust neelava materjali keelutsoon on </w:t>
      </w:r>
      <w:r w:rsidRPr="00A34FBC">
        <w:rPr>
          <w:rFonts w:ascii="Verdana" w:hAnsi="Verdana"/>
          <w:i/>
          <w:sz w:val="20"/>
          <w:szCs w:val="20"/>
          <w:lang w:val="et-EE"/>
        </w:rPr>
        <w:t>kitsas</w:t>
      </w:r>
      <w:r w:rsidRPr="00A34FBC">
        <w:rPr>
          <w:rFonts w:ascii="Verdana" w:hAnsi="Verdana"/>
          <w:sz w:val="20"/>
          <w:szCs w:val="20"/>
          <w:lang w:val="et-EE"/>
        </w:rPr>
        <w:t xml:space="preserve">, siis oodatav maksimaalne vool elemendis on suurem, kuid, samas - oodatav maksimaalne pinge jällegi – väiksem, võrreldes </w:t>
      </w:r>
      <w:r w:rsidRPr="00A34FBC">
        <w:rPr>
          <w:rFonts w:ascii="Verdana" w:hAnsi="Verdana"/>
          <w:i/>
          <w:sz w:val="20"/>
          <w:szCs w:val="20"/>
          <w:lang w:val="et-EE"/>
        </w:rPr>
        <w:t>laia</w:t>
      </w:r>
      <w:r w:rsidRPr="00A34FBC">
        <w:rPr>
          <w:rFonts w:ascii="Verdana" w:hAnsi="Verdana"/>
          <w:sz w:val="20"/>
          <w:szCs w:val="20"/>
          <w:lang w:val="et-EE"/>
        </w:rPr>
        <w:t xml:space="preserve"> keelutsooniga. Ja vastupidi. </w:t>
      </w:r>
      <w:r w:rsidRPr="00A34FBC">
        <w:rPr>
          <w:rFonts w:ascii="Verdana" w:hAnsi="Verdana"/>
          <w:sz w:val="20"/>
          <w:szCs w:val="20"/>
          <w:lang w:val="et-EE"/>
        </w:rPr>
        <w:br/>
      </w:r>
      <w:r w:rsidRPr="00A34FBC">
        <w:rPr>
          <w:rFonts w:ascii="Verdana" w:hAnsi="Verdana"/>
          <w:color w:val="808080" w:themeColor="background1" w:themeShade="80"/>
          <w:sz w:val="20"/>
          <w:szCs w:val="20"/>
          <w:lang w:val="et-EE"/>
        </w:rPr>
        <w:t xml:space="preserve">Kasutades juba toodud võrdlust </w:t>
      </w:r>
      <w:r w:rsidRPr="00A34FBC">
        <w:rPr>
          <w:rFonts w:ascii="Arial" w:hAnsi="Arial" w:cs="Arial"/>
          <w:color w:val="808080" w:themeColor="background1" w:themeShade="80"/>
          <w:sz w:val="20"/>
          <w:szCs w:val="20"/>
          <w:lang w:val="et-EE"/>
        </w:rPr>
        <w:t>→</w:t>
      </w:r>
      <w:r w:rsidRPr="00A34FBC">
        <w:rPr>
          <w:rFonts w:ascii="Verdana" w:hAnsi="Verdana"/>
          <w:color w:val="808080" w:themeColor="background1" w:themeShade="80"/>
          <w:sz w:val="20"/>
          <w:szCs w:val="20"/>
          <w:lang w:val="et-EE"/>
        </w:rPr>
        <w:t xml:space="preserve"> mida väiksemad on korruste vahed kahekorruselises majas, seda rohkem leidub redeleid (valguse osakesi), millega see vahemaa ületada. Samas, ükskõik kui kõrge on sinu redel (ultravioletne „redel“) – kui järgmine korrus on sellest madalamal, siis kasulikku potentsiaalset energiat (pinget) ei saa kahjuks tõsta rohkem, kui ainult järgmisele korrusele. Sellest kõrgemal ei ole lihtsalt midagi kasulikku teha.</w:t>
      </w:r>
      <w:r w:rsidRPr="00A34FBC">
        <w:rPr>
          <w:rFonts w:ascii="Verdana" w:hAnsi="Verdana"/>
          <w:color w:val="808080" w:themeColor="background1" w:themeShade="80"/>
          <w:sz w:val="20"/>
          <w:szCs w:val="20"/>
          <w:lang w:val="et-EE"/>
        </w:rPr>
        <w:br/>
      </w:r>
      <w:r w:rsidRPr="00A34FBC">
        <w:rPr>
          <w:rFonts w:ascii="Verdana" w:hAnsi="Verdana"/>
          <w:color w:val="808080" w:themeColor="background1" w:themeShade="80"/>
          <w:sz w:val="20"/>
          <w:szCs w:val="20"/>
          <w:lang w:val="et-EE"/>
        </w:rPr>
        <w:br/>
      </w:r>
      <w:r w:rsidRPr="00A34FBC">
        <w:rPr>
          <w:rFonts w:ascii="Verdana" w:hAnsi="Verdana"/>
          <w:sz w:val="20"/>
          <w:szCs w:val="20"/>
          <w:lang w:val="et-EE"/>
        </w:rPr>
        <w:t xml:space="preserve">Märkus. Ka keelutsoon sõltub temperatuurist, kuid hetkel jätame selle arvestamata. </w:t>
      </w:r>
    </w:p>
    <w:p w:rsidR="00A34FBC" w:rsidRPr="00A34FBC" w:rsidRDefault="00A34FBC" w:rsidP="00A34FBC"/>
    <w:sectPr w:rsidR="00A34FBC" w:rsidRPr="00A34F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4C" w:rsidRDefault="006D7B4C" w:rsidP="006D7B4C">
      <w:pPr>
        <w:spacing w:after="0" w:line="240" w:lineRule="auto"/>
      </w:pPr>
      <w:r>
        <w:separator/>
      </w:r>
    </w:p>
  </w:endnote>
  <w:endnote w:type="continuationSeparator" w:id="0">
    <w:p w:rsidR="006D7B4C" w:rsidRDefault="006D7B4C" w:rsidP="006D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495616"/>
      <w:docPartObj>
        <w:docPartGallery w:val="Page Numbers (Bottom of Page)"/>
        <w:docPartUnique/>
      </w:docPartObj>
    </w:sdtPr>
    <w:sdtEndPr/>
    <w:sdtContent>
      <w:p w:rsidR="00F725BF" w:rsidRDefault="00F725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FD">
          <w:rPr>
            <w:noProof/>
          </w:rPr>
          <w:t>3</w:t>
        </w:r>
        <w:r>
          <w:fldChar w:fldCharType="end"/>
        </w:r>
      </w:p>
    </w:sdtContent>
  </w:sdt>
  <w:p w:rsidR="00F725BF" w:rsidRDefault="00F72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4C" w:rsidRDefault="006D7B4C" w:rsidP="006D7B4C">
      <w:pPr>
        <w:spacing w:after="0" w:line="240" w:lineRule="auto"/>
      </w:pPr>
      <w:r>
        <w:separator/>
      </w:r>
    </w:p>
  </w:footnote>
  <w:footnote w:type="continuationSeparator" w:id="0">
    <w:p w:rsidR="006D7B4C" w:rsidRDefault="006D7B4C" w:rsidP="006D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4C" w:rsidRDefault="006D7B4C">
    <w:pPr>
      <w:pStyle w:val="Header"/>
    </w:pPr>
    <w:r w:rsidRPr="009276A2"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5DD012C" wp14:editId="3A82ECDF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1600200" cy="400050"/>
          <wp:effectExtent l="0" t="0" r="0" b="0"/>
          <wp:wrapTight wrapText="bothSides">
            <wp:wrapPolygon edited="0">
              <wp:start x="0" y="0"/>
              <wp:lineTo x="0" y="20571"/>
              <wp:lineTo x="21343" y="20571"/>
              <wp:lineTo x="21343" y="0"/>
              <wp:lineTo x="0" y="0"/>
            </wp:wrapPolygon>
          </wp:wrapTight>
          <wp:docPr id="11" name="Picture 11" descr="\\intra.ttu.ee\home\kelepi\Documents\Rakett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ntra.ttu.ee\home\kelepi\Documents\Rakett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0E8C1F32" wp14:editId="30957C5C">
          <wp:simplePos x="0" y="0"/>
          <wp:positionH relativeFrom="margin">
            <wp:align>right</wp:align>
          </wp:positionH>
          <wp:positionV relativeFrom="paragraph">
            <wp:posOffset>-36195</wp:posOffset>
          </wp:positionV>
          <wp:extent cx="752475" cy="428625"/>
          <wp:effectExtent l="0" t="0" r="9525" b="9525"/>
          <wp:wrapTight wrapText="bothSides">
            <wp:wrapPolygon edited="0">
              <wp:start x="0" y="0"/>
              <wp:lineTo x="0" y="21120"/>
              <wp:lineTo x="21327" y="21120"/>
              <wp:lineTo x="21327" y="10560"/>
              <wp:lineTo x="13124" y="0"/>
              <wp:lineTo x="0" y="0"/>
            </wp:wrapPolygon>
          </wp:wrapTight>
          <wp:docPr id="10" name="Picture 10" descr="sig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B4C" w:rsidRDefault="006D7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4BD"/>
    <w:multiLevelType w:val="hybridMultilevel"/>
    <w:tmpl w:val="ADA04A2E"/>
    <w:lvl w:ilvl="0" w:tplc="3C76CE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49"/>
    <w:rsid w:val="00033D3D"/>
    <w:rsid w:val="0029362E"/>
    <w:rsid w:val="003454E3"/>
    <w:rsid w:val="003D4DE6"/>
    <w:rsid w:val="005359FD"/>
    <w:rsid w:val="005870F4"/>
    <w:rsid w:val="005C18B3"/>
    <w:rsid w:val="005E73EF"/>
    <w:rsid w:val="0067490D"/>
    <w:rsid w:val="006D7B4C"/>
    <w:rsid w:val="0071078B"/>
    <w:rsid w:val="00915C3A"/>
    <w:rsid w:val="00A34FBC"/>
    <w:rsid w:val="00A44F74"/>
    <w:rsid w:val="00AB2410"/>
    <w:rsid w:val="00B52049"/>
    <w:rsid w:val="00CB58E3"/>
    <w:rsid w:val="00CC0536"/>
    <w:rsid w:val="00D54054"/>
    <w:rsid w:val="00DA456F"/>
    <w:rsid w:val="00ED1EAB"/>
    <w:rsid w:val="00F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AF83"/>
  <w15:chartTrackingRefBased/>
  <w15:docId w15:val="{A83E0222-DA2C-49DE-840B-C2404E28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54"/>
    <w:pPr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054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FF006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C3A"/>
    <w:pPr>
      <w:keepNext/>
      <w:keepLines/>
      <w:spacing w:before="160" w:after="120"/>
      <w:outlineLvl w:val="1"/>
    </w:pPr>
    <w:rPr>
      <w:rFonts w:eastAsiaTheme="majorEastAsia" w:cstheme="majorBidi"/>
      <w:b/>
      <w:caps/>
      <w:color w:val="66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054"/>
    <w:rPr>
      <w:rFonts w:ascii="Verdana" w:eastAsiaTheme="majorEastAsia" w:hAnsi="Verdana" w:cstheme="majorBidi"/>
      <w:b/>
      <w:caps/>
      <w:color w:val="FF006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5C3A"/>
    <w:rPr>
      <w:rFonts w:ascii="Verdana" w:eastAsiaTheme="majorEastAsia" w:hAnsi="Verdana" w:cstheme="majorBidi"/>
      <w:b/>
      <w:caps/>
      <w:color w:val="660033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4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6D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4C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A34F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BC"/>
    <w:pPr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ki.karber@taltech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846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Lepiksaar</dc:creator>
  <cp:keywords/>
  <dc:description/>
  <cp:lastModifiedBy>Cia-Helena Meldo</cp:lastModifiedBy>
  <cp:revision>5</cp:revision>
  <dcterms:created xsi:type="dcterms:W3CDTF">2021-01-28T11:09:00Z</dcterms:created>
  <dcterms:modified xsi:type="dcterms:W3CDTF">2021-01-29T08:48:00Z</dcterms:modified>
</cp:coreProperties>
</file>